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СПРАВОЧНАЯ ИНФОРМАЦИЯ о законодательстве в сфере обслуживания внутриквартирного и внутридомового газового оборудования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 01 июня 2013 года вступили в силу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газоснабжению», утвержденные постановлением Правительства Российской Федерации № 410 от 14.05.2013. (далее – Правила). Указанным документом на законодательном уровне устанавливается ответственность потребителя и исполнителя по заключению и исполнению договора о техническом обслуживании (ТО) и ремонте газового оборудования.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 пунктом 6 раздела 2 Правил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Согласно пункту 37 раздела 3 Правил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Постановлением Правительства РФ от 9 сентября 2017 г. № 1091 внесены изменения в Правила, утвержденные постановлением Правительства РФ от 14.05.2013г. № 410, в соответствии с которыми необходимо осуществлять техническое обслуживание внутриквартирного газового оборудования не реже 1 раза в год с учетом минимального перечня работ (оказываемых услуг) по техническому обслуживанию и ремонту внутриквартирного газового оборудования, предусмотренного приложением к настоящим Правилам.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Минимальный перечень выполняемых работ (оказываемых услуг) по техническому обслуживанию и ремонту внутридомового и (или) внутриквартирного газового оборудования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Наименование работы</w:t>
      </w:r>
      <w:r>
        <w:rPr>
          <w:rFonts w:ascii="Arial" w:hAnsi="Arial" w:cs="Arial"/>
          <w:color w:val="1E1D1E"/>
          <w:sz w:val="23"/>
          <w:szCs w:val="23"/>
        </w:rPr>
        <w:br/>
        <w:t>Наименование обслуживаемого объекта</w:t>
      </w:r>
      <w:r>
        <w:rPr>
          <w:rFonts w:ascii="Arial" w:hAnsi="Arial" w:cs="Arial"/>
          <w:color w:val="1E1D1E"/>
          <w:sz w:val="23"/>
          <w:szCs w:val="23"/>
        </w:rPr>
        <w:br/>
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</w:r>
      <w:r>
        <w:rPr>
          <w:rFonts w:ascii="Arial" w:hAnsi="Arial" w:cs="Arial"/>
          <w:color w:val="1E1D1E"/>
          <w:sz w:val="23"/>
          <w:szCs w:val="23"/>
        </w:rPr>
        <w:br/>
        <w:t>внутридомовое и (или) внутриквартирное газовое оборудование</w:t>
      </w:r>
      <w:r>
        <w:rPr>
          <w:rFonts w:ascii="Arial" w:hAnsi="Arial" w:cs="Arial"/>
          <w:color w:val="1E1D1E"/>
          <w:sz w:val="23"/>
          <w:szCs w:val="23"/>
        </w:rPr>
        <w:br/>
        <w:t>2. Визуальная проверка наличия свободного доступа (осмотр) к внутридомовому и (или) внутриквартирному газовому оборудованию</w:t>
      </w:r>
      <w:r>
        <w:rPr>
          <w:rFonts w:ascii="Arial" w:hAnsi="Arial" w:cs="Arial"/>
          <w:color w:val="1E1D1E"/>
          <w:sz w:val="23"/>
          <w:szCs w:val="23"/>
        </w:rPr>
        <w:br/>
        <w:t>внутридомовое и (или) внутриквартирное газовое оборудование</w:t>
      </w:r>
      <w:r>
        <w:rPr>
          <w:rFonts w:ascii="Arial" w:hAnsi="Arial" w:cs="Arial"/>
          <w:color w:val="1E1D1E"/>
          <w:sz w:val="23"/>
          <w:szCs w:val="23"/>
        </w:rPr>
        <w:br/>
        <w:t>3. Визуальная проверка состояния окраски и креплений газопровода (осмотр)</w:t>
      </w:r>
      <w:r>
        <w:rPr>
          <w:rFonts w:ascii="Arial" w:hAnsi="Arial" w:cs="Arial"/>
          <w:color w:val="1E1D1E"/>
          <w:sz w:val="23"/>
          <w:szCs w:val="23"/>
        </w:rPr>
        <w:br/>
        <w:t>газопроводы</w:t>
      </w:r>
      <w:r>
        <w:rPr>
          <w:rFonts w:ascii="Arial" w:hAnsi="Arial" w:cs="Arial"/>
          <w:color w:val="1E1D1E"/>
          <w:sz w:val="23"/>
          <w:szCs w:val="23"/>
        </w:rPr>
        <w:br/>
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</w:r>
      <w:r>
        <w:rPr>
          <w:rFonts w:ascii="Arial" w:hAnsi="Arial" w:cs="Arial"/>
          <w:color w:val="1E1D1E"/>
          <w:sz w:val="23"/>
          <w:szCs w:val="23"/>
        </w:rPr>
        <w:br/>
        <w:t>газопроводы</w:t>
      </w:r>
      <w:r>
        <w:rPr>
          <w:rFonts w:ascii="Arial" w:hAnsi="Arial" w:cs="Arial"/>
          <w:color w:val="1E1D1E"/>
          <w:sz w:val="23"/>
          <w:szCs w:val="23"/>
        </w:rPr>
        <w:br/>
        <w:t xml:space="preserve">5. Проверка герметичности соединений и отключающих устройств (приборный метод,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обмыливание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>)</w:t>
      </w:r>
      <w:r>
        <w:rPr>
          <w:rFonts w:ascii="Arial" w:hAnsi="Arial" w:cs="Arial"/>
          <w:color w:val="1E1D1E"/>
          <w:sz w:val="23"/>
          <w:szCs w:val="23"/>
        </w:rPr>
        <w:br/>
        <w:t>внутридомовое и (или) внутриквартирное газовое оборудование</w:t>
      </w:r>
      <w:r>
        <w:rPr>
          <w:rFonts w:ascii="Arial" w:hAnsi="Arial" w:cs="Arial"/>
          <w:color w:val="1E1D1E"/>
          <w:sz w:val="23"/>
          <w:szCs w:val="23"/>
        </w:rPr>
        <w:br/>
        <w:t>6. Проверка работоспособности и смазка отключающих устройств</w:t>
      </w:r>
      <w:r>
        <w:rPr>
          <w:rFonts w:ascii="Arial" w:hAnsi="Arial" w:cs="Arial"/>
          <w:color w:val="1E1D1E"/>
          <w:sz w:val="23"/>
          <w:szCs w:val="23"/>
        </w:rPr>
        <w:br/>
        <w:t>отключающие устройства, установленные на газопроводах</w:t>
      </w:r>
      <w:r>
        <w:rPr>
          <w:rFonts w:ascii="Arial" w:hAnsi="Arial" w:cs="Arial"/>
          <w:color w:val="1E1D1E"/>
          <w:sz w:val="23"/>
          <w:szCs w:val="23"/>
        </w:rPr>
        <w:br/>
        <w:t>7. Разборка и смазка кранов</w:t>
      </w:r>
      <w:r>
        <w:rPr>
          <w:rFonts w:ascii="Arial" w:hAnsi="Arial" w:cs="Arial"/>
          <w:color w:val="1E1D1E"/>
          <w:sz w:val="23"/>
          <w:szCs w:val="23"/>
        </w:rPr>
        <w:br/>
        <w:t>бытовое газоиспользующее оборудование</w:t>
      </w:r>
      <w:r>
        <w:rPr>
          <w:rFonts w:ascii="Arial" w:hAnsi="Arial" w:cs="Arial"/>
          <w:color w:val="1E1D1E"/>
          <w:sz w:val="23"/>
          <w:szCs w:val="23"/>
        </w:rPr>
        <w:br/>
        <w:t xml:space="preserve">8. Проверка работоспособности устройств, позволяющих автоматически отключить </w:t>
      </w:r>
      <w:r>
        <w:rPr>
          <w:rFonts w:ascii="Arial" w:hAnsi="Arial" w:cs="Arial"/>
          <w:color w:val="1E1D1E"/>
          <w:sz w:val="23"/>
          <w:szCs w:val="23"/>
        </w:rPr>
        <w:lastRenderedPageBreak/>
        <w:t>подачу газа при отклонении контролируемых параметров за допустимые пределы, ее наладка и регулировка</w:t>
      </w:r>
      <w:r>
        <w:rPr>
          <w:rFonts w:ascii="Arial" w:hAnsi="Arial" w:cs="Arial"/>
          <w:color w:val="1E1D1E"/>
          <w:sz w:val="23"/>
          <w:szCs w:val="23"/>
        </w:rPr>
        <w:br/>
        <w:t>предохранительная арматура, системы контроля загазованности</w:t>
      </w:r>
      <w:r>
        <w:rPr>
          <w:rFonts w:ascii="Arial" w:hAnsi="Arial" w:cs="Arial"/>
          <w:color w:val="1E1D1E"/>
          <w:sz w:val="23"/>
          <w:szCs w:val="23"/>
        </w:rPr>
        <w:br/>
        <w:t>9. Регулировка процесса сжигания газа на всех режимах работы, очистка горелок от загрязнений</w:t>
      </w:r>
      <w:r>
        <w:rPr>
          <w:rFonts w:ascii="Arial" w:hAnsi="Arial" w:cs="Arial"/>
          <w:color w:val="1E1D1E"/>
          <w:sz w:val="23"/>
          <w:szCs w:val="23"/>
        </w:rPr>
        <w:br/>
        <w:t>бытовое газоиспользующее оборудование</w:t>
      </w:r>
      <w:r>
        <w:rPr>
          <w:rFonts w:ascii="Arial" w:hAnsi="Arial" w:cs="Arial"/>
          <w:color w:val="1E1D1E"/>
          <w:sz w:val="23"/>
          <w:szCs w:val="23"/>
        </w:rPr>
        <w:br/>
        <w:t>10. Проверка давления газа перед газоиспользующим оборудованием при всех работающих горелках и после прекращения подачи газа</w:t>
      </w:r>
      <w:r>
        <w:rPr>
          <w:rFonts w:ascii="Arial" w:hAnsi="Arial" w:cs="Arial"/>
          <w:color w:val="1E1D1E"/>
          <w:sz w:val="23"/>
          <w:szCs w:val="23"/>
        </w:rPr>
        <w:br/>
        <w:t>индивидуальная баллонная установка сжиженных углеводородных газов</w:t>
      </w:r>
      <w:r>
        <w:rPr>
          <w:rFonts w:ascii="Arial" w:hAnsi="Arial" w:cs="Arial"/>
          <w:color w:val="1E1D1E"/>
          <w:sz w:val="23"/>
          <w:szCs w:val="23"/>
        </w:rPr>
        <w:br/>
        <w:t>11. Замена баллонов для сжиженных углеводородных газов</w:t>
      </w:r>
      <w:r>
        <w:rPr>
          <w:rFonts w:ascii="Arial" w:hAnsi="Arial" w:cs="Arial"/>
          <w:color w:val="1E1D1E"/>
          <w:sz w:val="23"/>
          <w:szCs w:val="23"/>
        </w:rPr>
        <w:br/>
        <w:t>групповые и индивидуальные баллонные установки сжиженных углеводородных газов</w:t>
      </w:r>
      <w:r>
        <w:rPr>
          <w:rFonts w:ascii="Arial" w:hAnsi="Arial" w:cs="Arial"/>
          <w:color w:val="1E1D1E"/>
          <w:sz w:val="23"/>
          <w:szCs w:val="23"/>
        </w:rPr>
        <w:br/>
        <w:t>12. Проверка наличия тяги в дымовых и вентиляционных каналах, состояния соединительных труб с дымовым каналом</w:t>
      </w:r>
      <w:r>
        <w:rPr>
          <w:rFonts w:ascii="Arial" w:hAnsi="Arial" w:cs="Arial"/>
          <w:color w:val="1E1D1E"/>
          <w:sz w:val="23"/>
          <w:szCs w:val="23"/>
        </w:rPr>
        <w:br/>
        <w:t>дымовые и вентиляционные каналы</w:t>
      </w:r>
      <w:r>
        <w:rPr>
          <w:rFonts w:ascii="Arial" w:hAnsi="Arial" w:cs="Arial"/>
          <w:color w:val="1E1D1E"/>
          <w:sz w:val="23"/>
          <w:szCs w:val="23"/>
        </w:rPr>
        <w:br/>
        <w:t>13. Инструктаж потребителей газа по безопасному использованию газа при удовлетворении коммунально-бытовых нужд</w:t>
      </w:r>
      <w:r>
        <w:rPr>
          <w:rFonts w:ascii="Arial" w:hAnsi="Arial" w:cs="Arial"/>
          <w:color w:val="1E1D1E"/>
          <w:sz w:val="23"/>
          <w:szCs w:val="23"/>
        </w:rPr>
        <w:br/>
        <w:t>бытовое газоиспользующее оборудование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 постановлением Правительства Российской Федерации от 21 июля 2008 года № 549 «О порядке поставки газа для обеспечения коммунально-бытовых нужд граждан» и приказом Министерства регионального развития Российской федерации от 26 июня 2009 года № 239 «Об утверждении Порядка содержания и ремонту внутридомового газового оборудования» регламентировано в обязательном порядке наличие у каждого потребителя газа договора на техническое обслуживание внутридомового газового оборудования, заключенного со специализированной организацией.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Согласно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подпункту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к) пункта 20 постановления Правительства Российской Федерации от 21 июля 2008 года № 549 «О порядке поставки газа для обеспечения коммунально-бытовых нужд граждан» за состояние оборудования отвечает потребитель, который обязан своевременно заключать договоры на техническое обслуживание со специализированными организациями.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 пунктом 2 статьи 9.23 Кодекса Российской Федерации об административных правонарушениях» от 30.12.2001 уклонение от заключения договора о техническом обслуживании и ремонте внутридомового и (или) внутриквартирного газового оборудования, если заключение такого договора является обязательным, - 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Стоимость технического обслуживания внутридомового и внутриквартирного определяется согласно Методическим рекомендациям о правилах расчета стоимости технического обслуживания и ремонта внутридомового и внутриквартирного газового оборудования (утв. Приказом Федеральной службой по тарифам от 27 декабря 2013г 0№ 269-э/8) и не подлежит тарифному регулированию.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соответствии с разделом 9 Правил специализированные организации, осуществляющие работы по техническому обслуживанию внутридомового и внутриквартирного газового оборудования должны иметь штат квалифицированных сотрудников, имеющих профильное образование, прошедших необходимое обучение и аттестацию по итогам обучения; разработанные для сотрудников должностные инструкции; должны быть оснащены средствами контроля и измерения, контрольно-измерительным оборудованием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</w:t>
      </w:r>
      <w:r>
        <w:rPr>
          <w:rFonts w:ascii="Arial" w:hAnsi="Arial" w:cs="Arial"/>
          <w:color w:val="1E1D1E"/>
          <w:sz w:val="23"/>
          <w:szCs w:val="23"/>
        </w:rPr>
        <w:lastRenderedPageBreak/>
        <w:t>работ;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 Федеральным законом от 05.12.2016 N 412-ФЗ, лица, осуществляющие деятельность по техническому обслуживанию, ремонту и техническому диагностированию внутридомового и внутриквартирного газового оборудования, обязаны в течение шести месяцев после дня вступления в силу настоящего закона уведомить органы государственного жилищного надзора об осуществлении деятельности по техническому обслуживанию, ремонту и техническому диагностированию внутридомового и внутриквартирного газового оборудования в порядке, предусмотренном Федеральным законом от 26.12.2008 N 294-ФЗ.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 состоянию на 09.10.2020 49 специализированных организаций уведомили государственную жилищную инспекцию о своей деятельности.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9.23. Нарушение правил обеспечения безопасного использования и содержания внутридомового и внутриквартирного газового оборудования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(введена Федеральным законом от 05.12.2016 N 412-ФЗ)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Нарушение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невыполнение работ (неоказание услуг) по техническому обслуживанию и ремонту внутридомового и (или) внутриквартирного газового оборудования, включенных в перечень, предусмотренный правилами обеспечения безопасного использования и содержания внутридомового и внутриквартирного газового оборудования, -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Уклонение от заключения договора о техническом обслуживании и ремонте внутридомового и (или) внутриквартирного газового оборудования, если заключение такого договора является обязательным, -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Отказ в допуске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 -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Уклонение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оборудования, либо уклонение от заключения договора о техническом диагностировании внутридомового и (или) внутриквартирного газового оборудования, если заключение такого договора является обязательным, -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5. Действия (бездействие), предусмотренные частями 1 - 4 настоящей статьи, приведшие к аварии или возникновению непосредственной угрозы причинения вреда жизни или здоровью людей, -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влекут наложение административного штрафа на граждан в размере от десяти тысяч до тридцати тысяч рублей; на должностных лиц - от пятидесяти тысяч до ста тысяч рублей; на юридических лиц - от ста тысяч до четырехсот тысяч рублей.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6. Повторное совершение административного правонарушения, предусмотренного частями 1 - 4 настоящей статьи, -</w:t>
      </w:r>
    </w:p>
    <w:p w:rsidR="0040109B" w:rsidRDefault="0040109B" w:rsidP="0040109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влечет наложение административного штрафа на граждан в размере от двух тысяч до пяти тысяч рублей; на должностных лиц - от десяти тысяч до сорока тысяч рублей или дисквалификацию на срок от одного года до трех лет; на юридических лиц - от восьмидесяти тысяч до двухсот тысяч рублей или административное приостановление деятельности на срок до девяноста </w:t>
      </w:r>
      <w:proofErr w:type="spellStart"/>
      <w:proofErr w:type="gramStart"/>
      <w:r>
        <w:rPr>
          <w:rFonts w:ascii="Arial" w:hAnsi="Arial" w:cs="Arial"/>
          <w:color w:val="1E1D1E"/>
          <w:sz w:val="23"/>
          <w:szCs w:val="23"/>
        </w:rPr>
        <w:t>суток.Приложени</w:t>
      </w:r>
      <w:proofErr w:type="spellEnd"/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таблица по ценам на обслуживание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внутраздел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VIII постановления Правительства Российской Федерации № 410 от 14.05.2013</w:t>
      </w:r>
    </w:p>
    <w:p w:rsidR="003942D2" w:rsidRDefault="0040109B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D9"/>
    <w:rsid w:val="000031D9"/>
    <w:rsid w:val="0013660A"/>
    <w:rsid w:val="003049EB"/>
    <w:rsid w:val="0040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E25CD-34B1-4878-934B-0BC403D2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1631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2023-04-06T09:45:00Z</dcterms:created>
  <dcterms:modified xsi:type="dcterms:W3CDTF">2023-04-06T09:46:00Z</dcterms:modified>
</cp:coreProperties>
</file>